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1"/>
        <w:gridCol w:w="3461"/>
        <w:gridCol w:w="3443"/>
        <w:gridCol w:w="888"/>
      </w:tblGrid>
      <w:tr w:rsidR="00862BE0" w:rsidRPr="00862BE0" w:rsidTr="00862BE0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62BE0" w:rsidRPr="00862BE0" w:rsidRDefault="00862BE0" w:rsidP="00862BE0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862BE0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7a:</w:t>
            </w:r>
            <w:r w:rsidRPr="00862BE0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Letters and SMS—Centrelink, Medicare and Child Support - Mail house letters</w:t>
            </w:r>
          </w:p>
        </w:tc>
      </w:tr>
      <w:tr w:rsidR="00862BE0" w:rsidRPr="00862BE0" w:rsidTr="00862BE0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2BE0" w:rsidRPr="00862BE0" w:rsidRDefault="00862BE0" w:rsidP="00862BE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62BE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Mail house letters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2BE0" w:rsidRPr="00862BE0" w:rsidRDefault="00862BE0" w:rsidP="00862BE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62BE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2BE0" w:rsidRPr="00862BE0" w:rsidRDefault="00862BE0" w:rsidP="00862BE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62BE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2BE0" w:rsidRPr="00862BE0" w:rsidRDefault="00862BE0" w:rsidP="00862BE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62BE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</w:p>
        </w:tc>
      </w:tr>
      <w:tr w:rsidR="00862BE0" w:rsidRPr="00862BE0" w:rsidTr="00862BE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2BE0" w:rsidRPr="00862BE0" w:rsidRDefault="00862BE0" w:rsidP="00862BE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2BE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Centrelink</w:t>
            </w:r>
            <w:r w:rsidRPr="00862BE0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2BE0" w:rsidRPr="00862BE0" w:rsidRDefault="00862BE0" w:rsidP="00862BE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2BE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100,146,140</w:t>
            </w:r>
            <w:r w:rsidRPr="00862BE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(plus correspondence or letters about special initiatives 5,851,845, and publications 5,474,283)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2BE0" w:rsidRPr="00862BE0" w:rsidRDefault="00862BE0" w:rsidP="00862BE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2BE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84,968,521</w:t>
            </w:r>
            <w:r w:rsidRPr="00862BE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(plus correspondence or letters about special initiatives 6,524,954 and publications 9,417,100)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2BE0" w:rsidRPr="00862BE0" w:rsidRDefault="00862BE0" w:rsidP="00862BE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2BE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–15.2</w:t>
            </w:r>
            <w:r w:rsidRPr="00862BE0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5</w:t>
            </w:r>
          </w:p>
        </w:tc>
      </w:tr>
      <w:tr w:rsidR="00862BE0" w:rsidRPr="00862BE0" w:rsidTr="00862BE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2BE0" w:rsidRPr="00862BE0" w:rsidRDefault="00862BE0" w:rsidP="00862BE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2BE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Medicare</w:t>
            </w:r>
            <w:r w:rsidRPr="00862BE0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2BE0" w:rsidRPr="00862BE0" w:rsidRDefault="00862BE0" w:rsidP="00862BE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2BE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17,472,722</w:t>
            </w:r>
            <w:r w:rsidRPr="00862BE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(plus 3,657,788 Medicare cards)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2BE0" w:rsidRPr="00862BE0" w:rsidRDefault="00862BE0" w:rsidP="00862BE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2BE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18,009,446</w:t>
            </w:r>
            <w:r w:rsidRPr="00862BE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br/>
              <w:t>(plus 4,329,603 Medicare cards)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2BE0" w:rsidRPr="00862BE0" w:rsidRDefault="00862BE0" w:rsidP="00862BE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2BE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+3.1</w:t>
            </w:r>
          </w:p>
        </w:tc>
      </w:tr>
      <w:tr w:rsidR="00862BE0" w:rsidRPr="00862BE0" w:rsidTr="00862BE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2BE0" w:rsidRPr="00862BE0" w:rsidRDefault="00862BE0" w:rsidP="00862BE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2BE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Child Support</w:t>
            </w:r>
            <w:r w:rsidRPr="00862BE0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2BE0" w:rsidRPr="00862BE0" w:rsidRDefault="00862BE0" w:rsidP="00862BE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2BE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17,023,070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2BE0" w:rsidRPr="00862BE0" w:rsidRDefault="00862BE0" w:rsidP="00862BE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2BE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7,395,171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2BE0" w:rsidRPr="00862BE0" w:rsidRDefault="00862BE0" w:rsidP="00862BE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2BE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–56.6</w:t>
            </w:r>
          </w:p>
        </w:tc>
      </w:tr>
    </w:tbl>
    <w:p w:rsidR="003C33A2" w:rsidRDefault="003C33A2" w:rsidP="00862BE0"/>
    <w:p w:rsidR="00862BE0" w:rsidRDefault="00862BE0" w:rsidP="00862BE0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 xml:space="preserve">1. Special initiatives include Clean Energy—Household Assistance Package, </w:t>
      </w:r>
      <w:proofErr w:type="spellStart"/>
      <w:r>
        <w:rPr>
          <w:rFonts w:ascii="Verdana" w:hAnsi="Verdana"/>
          <w:sz w:val="15"/>
          <w:szCs w:val="15"/>
          <w:lang w:val="en"/>
        </w:rPr>
        <w:t>Schoolkids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Bonus, Digital TV switchover—Household Assistance Scheme and Strengthening </w:t>
      </w:r>
      <w:proofErr w:type="spellStart"/>
      <w:r>
        <w:rPr>
          <w:rFonts w:ascii="Verdana" w:hAnsi="Verdana"/>
          <w:sz w:val="15"/>
          <w:szCs w:val="15"/>
          <w:lang w:val="en"/>
        </w:rPr>
        <w:t>Immunisation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for Children.</w:t>
      </w:r>
    </w:p>
    <w:p w:rsidR="00862BE0" w:rsidRDefault="00862BE0" w:rsidP="00862BE0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>2. Letters requested via Medicare Online Services for consumers are sent to a person’s mailing address.</w:t>
      </w:r>
    </w:p>
    <w:p w:rsidR="00862BE0" w:rsidRDefault="00862BE0" w:rsidP="00862BE0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 xml:space="preserve">3. The 2012–13 </w:t>
      </w:r>
      <w:proofErr w:type="gramStart"/>
      <w:r>
        <w:rPr>
          <w:rFonts w:ascii="Verdana" w:hAnsi="Verdana"/>
          <w:sz w:val="15"/>
          <w:szCs w:val="15"/>
          <w:lang w:val="en"/>
        </w:rPr>
        <w:t>figure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represents total mail packs which include multiple individual items distributed through the department’s Production </w:t>
      </w:r>
      <w:proofErr w:type="spellStart"/>
      <w:r>
        <w:rPr>
          <w:rFonts w:ascii="Verdana" w:hAnsi="Verdana"/>
          <w:sz w:val="15"/>
          <w:szCs w:val="15"/>
          <w:lang w:val="en"/>
        </w:rPr>
        <w:t>Centres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. The 2011–12 </w:t>
      </w:r>
      <w:proofErr w:type="gramStart"/>
      <w:r>
        <w:rPr>
          <w:rFonts w:ascii="Verdana" w:hAnsi="Verdana"/>
          <w:sz w:val="15"/>
          <w:szCs w:val="15"/>
          <w:lang w:val="en"/>
        </w:rPr>
        <w:t>figure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represents total individual items, with the data sourced through Child Support Management Information Systems, which was inconsistent with the department’s reconciliation processes.</w:t>
      </w:r>
    </w:p>
    <w:p w:rsidR="00862BE0" w:rsidRDefault="00862BE0" w:rsidP="00862BE0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bookmarkStart w:id="0" w:name="_GoBack"/>
      <w:bookmarkEnd w:id="0"/>
      <w:r>
        <w:rPr>
          <w:rFonts w:ascii="Verdana" w:hAnsi="Verdana"/>
          <w:sz w:val="15"/>
          <w:szCs w:val="15"/>
          <w:lang w:val="en"/>
        </w:rPr>
        <w:t>5</w:t>
      </w:r>
      <w:r>
        <w:rPr>
          <w:rFonts w:ascii="Verdana" w:hAnsi="Verdana"/>
          <w:sz w:val="15"/>
          <w:szCs w:val="15"/>
          <w:lang w:val="en"/>
        </w:rPr>
        <w:t xml:space="preserve">. </w:t>
      </w:r>
      <w:r>
        <w:rPr>
          <w:rFonts w:ascii="Verdana" w:hAnsi="Verdana"/>
          <w:sz w:val="15"/>
          <w:szCs w:val="15"/>
          <w:lang w:val="en"/>
        </w:rPr>
        <w:t xml:space="preserve">Percentage change excluded correspondence or letters about special initiatives, and publications. </w:t>
      </w:r>
    </w:p>
    <w:p w:rsidR="00862BE0" w:rsidRPr="00862BE0" w:rsidRDefault="00862BE0" w:rsidP="00862BE0"/>
    <w:sectPr w:rsidR="00862BE0" w:rsidRPr="00862B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778"/>
    <w:rsid w:val="00110903"/>
    <w:rsid w:val="003C33A2"/>
    <w:rsid w:val="00523778"/>
    <w:rsid w:val="0086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2BE0"/>
    <w:rPr>
      <w:b/>
      <w:bCs/>
    </w:rPr>
  </w:style>
  <w:style w:type="paragraph" w:customStyle="1" w:styleId="fs90">
    <w:name w:val="fs90"/>
    <w:basedOn w:val="Normal"/>
    <w:rsid w:val="00862BE0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2BE0"/>
    <w:rPr>
      <w:b/>
      <w:bCs/>
    </w:rPr>
  </w:style>
  <w:style w:type="paragraph" w:customStyle="1" w:styleId="fs90">
    <w:name w:val="fs90"/>
    <w:basedOn w:val="Normal"/>
    <w:rsid w:val="00862BE0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71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1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00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1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0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34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38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9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7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0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79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8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9054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1069</Characters>
  <Application>Microsoft Office Word</Application>
  <DocSecurity>0</DocSecurity>
  <Lines>8</Lines>
  <Paragraphs>2</Paragraphs>
  <ScaleCrop>false</ScaleCrop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2014-02-20T00:50:00Z</dcterms:created>
  <dcterms:modified xsi:type="dcterms:W3CDTF">2014-03-04T03:03:00Z</dcterms:modified>
</cp:coreProperties>
</file>